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F2" w:rsidRPr="00451DC2" w:rsidRDefault="001709F2" w:rsidP="001709F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Прикладная математика и информатика</w:t>
      </w:r>
    </w:p>
    <w:p w:rsidR="001709F2" w:rsidRPr="00451DC2" w:rsidRDefault="001709F2" w:rsidP="001709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  <w:t>Основные научные направления по математическим направлениям подразделяются на теоретические и прикладные уровни.</w:t>
      </w:r>
    </w:p>
    <w:p w:rsidR="002352D0" w:rsidRDefault="001709F2" w:rsidP="001709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DC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37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 теоретическом направлении 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действует научная школа по дифференциальным уравнениям и математической физики, а также направление по математической кибернетики. Научная школа по дифференциальным уравнениям и математической физике направлена на изучение теоретических и практических методов решения дифференциальных уравнений, их применения в математической физике, а также разработку численных методов и математических моделей для описания физических процессов в различных областях науки и техники. </w:t>
      </w:r>
    </w:p>
    <w:p w:rsidR="002352D0" w:rsidRPr="0086437E" w:rsidRDefault="002352D0" w:rsidP="0086437E">
      <w:pPr>
        <w:pStyle w:val="ListParagraph"/>
        <w:numPr>
          <w:ilvl w:val="1"/>
          <w:numId w:val="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Изучено сферическое преобразование Радона </w:t>
      </w:r>
      <w:proofErr w:type="gramStart"/>
      <w:r w:rsidRPr="0086437E">
        <w:rPr>
          <w:rFonts w:ascii="Times New Roman" w:hAnsi="Times New Roman" w:cs="Times New Roman"/>
          <w:sz w:val="24"/>
          <w:szCs w:val="24"/>
          <w:lang w:val="ru-RU"/>
        </w:rPr>
        <w:t>в  R</w:t>
      </w:r>
      <w:proofErr w:type="gramEnd"/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^3 с детекторами, расположенными на плоскости. Новая итерационная формула для обращения сферического преобразования Радона в 3D представлена. Чтобы восстановить функцию по ее сферическим средним значениям, мы используем локальные данные, что является преимуществом этой формулы. Все существующие формулы они не локальны. </w:t>
      </w:r>
    </w:p>
    <w:p w:rsidR="002352D0" w:rsidRPr="0086437E" w:rsidRDefault="002352D0" w:rsidP="0086437E">
      <w:pPr>
        <w:pStyle w:val="ListParagraph"/>
        <w:numPr>
          <w:ilvl w:val="1"/>
          <w:numId w:val="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37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6437E"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айдено </w:t>
      </w:r>
      <w:proofErr w:type="gramStart"/>
      <w:r w:rsidR="0086437E"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дополнительное </w:t>
      </w:r>
      <w:r w:rsidRPr="0086437E">
        <w:rPr>
          <w:rFonts w:ascii="Times New Roman" w:hAnsi="Times New Roman" w:cs="Times New Roman"/>
          <w:sz w:val="24"/>
          <w:szCs w:val="24"/>
          <w:lang w:val="ru-RU"/>
        </w:rPr>
        <w:t>условие</w:t>
      </w:r>
      <w:proofErr w:type="gramEnd"/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 позволяющее восстановить неизвестную функцию f </w:t>
      </w:r>
      <w:r w:rsidRPr="0086437E">
        <w:rPr>
          <w:rFonts w:ascii="Cambria Math" w:hAnsi="Cambria Math" w:cs="Cambria Math"/>
          <w:sz w:val="24"/>
          <w:szCs w:val="24"/>
          <w:lang w:val="ru-RU"/>
        </w:rPr>
        <w:t>∈</w:t>
      </w:r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 C(R2) (не обязательно с компактным носителем) с помощью сферического преобразования Радона (SRT) с детекторами, расположенными на дуге по локальным данным. В этой статье найдено дополнительное условие. Также в этой статье представлена новая итерационная формула обращения преобразования.</w:t>
      </w:r>
    </w:p>
    <w:p w:rsidR="0086437E" w:rsidRPr="0086437E" w:rsidRDefault="0086437E" w:rsidP="0086437E">
      <w:pPr>
        <w:pStyle w:val="ListParagraph"/>
        <w:numPr>
          <w:ilvl w:val="1"/>
          <w:numId w:val="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37E">
        <w:rPr>
          <w:rFonts w:ascii="Times New Roman" w:hAnsi="Times New Roman" w:cs="Times New Roman"/>
          <w:sz w:val="24"/>
          <w:szCs w:val="24"/>
          <w:lang w:val="ru-RU"/>
        </w:rPr>
        <w:t>Поведение на бесконечности символа (характеристического многочлена) общего линейного ди</w:t>
      </w:r>
      <w:r>
        <w:rPr>
          <w:rFonts w:ascii="Times New Roman" w:hAnsi="Times New Roman" w:cs="Times New Roman"/>
          <w:sz w:val="24"/>
          <w:szCs w:val="24"/>
          <w:lang w:val="ru-RU"/>
        </w:rPr>
        <w:t>фференциального оператора P(D) </w:t>
      </w:r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(символа P(x)) играет решающую роль в теории дифференциальных уравнений и, через применения дифференциальных уравнений, в различных областях естествознания. Например, Символы </w:t>
      </w:r>
      <w:proofErr w:type="spellStart"/>
      <w:r w:rsidRPr="0086437E">
        <w:rPr>
          <w:rFonts w:ascii="Times New Roman" w:hAnsi="Times New Roman" w:cs="Times New Roman"/>
          <w:sz w:val="24"/>
          <w:szCs w:val="24"/>
          <w:lang w:val="ru-RU"/>
        </w:rPr>
        <w:t>гипоэллиптических</w:t>
      </w:r>
      <w:proofErr w:type="spellEnd"/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 операторов бесконечно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ют при бесконечном возрастании </w:t>
      </w:r>
      <w:r w:rsidRPr="0086437E">
        <w:rPr>
          <w:rFonts w:ascii="Times New Roman" w:hAnsi="Times New Roman" w:cs="Times New Roman"/>
          <w:sz w:val="24"/>
          <w:szCs w:val="24"/>
          <w:lang w:val="ru-RU"/>
        </w:rPr>
        <w:t>их аргумента и именно этим обусловливается бесконечная гладкость решений </w:t>
      </w:r>
      <w:proofErr w:type="spellStart"/>
      <w:r w:rsidRPr="0086437E">
        <w:rPr>
          <w:rFonts w:ascii="Times New Roman" w:hAnsi="Times New Roman" w:cs="Times New Roman"/>
          <w:sz w:val="24"/>
          <w:szCs w:val="24"/>
          <w:lang w:val="ru-RU"/>
        </w:rPr>
        <w:t>гипоэллиптических</w:t>
      </w:r>
      <w:proofErr w:type="spellEnd"/>
      <w:r w:rsidRPr="0086437E">
        <w:rPr>
          <w:rFonts w:ascii="Times New Roman" w:hAnsi="Times New Roman" w:cs="Times New Roman"/>
          <w:sz w:val="24"/>
          <w:szCs w:val="24"/>
          <w:lang w:val="ru-RU"/>
        </w:rPr>
        <w:t xml:space="preserve"> уравнений.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другой стороны для описания поведения на бесконечности символа дифференциального уравнения определяющую роль играют сравнение силы разных дифференциальных операторов и их </w:t>
      </w:r>
      <w:proofErr w:type="gram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символов,  нахождение</w:t>
      </w:r>
      <w:proofErr w:type="gram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условий при которых добавление младших членов к  данному оператору (символу) из определенного класса, не нарушает тип, мощность или силу (по Л.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Хёрмадеру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)  этого оператора (символа).</w:t>
      </w:r>
      <w:r w:rsidRPr="0086437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указанном выше направлении, за указанный срок, для решения соответствующих задач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получены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  (</w:t>
      </w:r>
      <w:proofErr w:type="gram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в некоторых случаях  совпадающие)  необходимые  или достаточные условия.  При этом, если многие ученные (как Л. 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Хёрмадер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С.М. Никольский О.В. Бесов, В.П. Михайлов, В.П. Ильин, Л. Гординг, Н.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Ароншайн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Б.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Мальгранж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Ф.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Трев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Б.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Пини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Волевич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Гиндикин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Й.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Фриберг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Л.Каттабрига</w:t>
      </w:r>
      <w:proofErr w:type="spellEnd"/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много другие) названные вопросы изучили в случае невырожден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ных операторов (многочленов), исследователи РАУ рассмотрели также 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более сложный вырожденный случай. Более того, если раньше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исследовались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многочлены с двух</w:t>
      </w:r>
      <w:r w:rsidR="00D76E01">
        <w:rPr>
          <w:rFonts w:ascii="Times New Roman" w:hAnsi="Times New Roman" w:cs="Times New Roman"/>
          <w:bCs/>
          <w:sz w:val="24"/>
          <w:szCs w:val="24"/>
          <w:lang w:val="ru-RU"/>
        </w:rPr>
        <w:t>слойным вырождением, то 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ru-RU"/>
        </w:rPr>
        <w:t>в 2022-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2023 годах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были получены </w:t>
      </w:r>
      <w:r w:rsidRPr="0086437E">
        <w:rPr>
          <w:rFonts w:ascii="Times New Roman" w:hAnsi="Times New Roman" w:cs="Times New Roman"/>
          <w:bCs/>
          <w:sz w:val="24"/>
          <w:szCs w:val="24"/>
          <w:lang w:val="ru-RU"/>
        </w:rPr>
        <w:t>результаты для операторов (многочленов) с многослойной вырожденности.</w:t>
      </w:r>
    </w:p>
    <w:p w:rsidR="001709F2" w:rsidRPr="00451DC2" w:rsidRDefault="001709F2" w:rsidP="002352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37E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прикладном направлении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научная школа по теоретическим основам информатики, методам и системам защиты информации, информационной безопасности, а также цифровой обработке сигналов и изображений, которое включает изучение </w:t>
      </w:r>
      <w:r w:rsidRPr="00451DC2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фундаментальных принципов информатики, разработку и применение методов защиты информации, создание систем информационной безопасности и алгоритмов цифровой обработки для анализа и улучшения сигналов и изображений в различных областях науки и техники. На прикладном уровне в Университете действует Центр Передовых Программных Технологий, который на всех ступенях образовательной деятельности осуществляет научную деятельность по безопасности программного обеспечения, компиляторных технологий, машинного обучения, автономных систем и робототехники (есть отдельная научная магистерская программа).</w:t>
      </w:r>
    </w:p>
    <w:p w:rsidR="002352D0" w:rsidRPr="00E40862" w:rsidRDefault="002352D0" w:rsidP="002352D0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08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Наиболее значимые результаты: </w:t>
      </w:r>
    </w:p>
    <w:p w:rsidR="00000000" w:rsidRPr="002352D0" w:rsidRDefault="00D76E01" w:rsidP="002352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Новая методика оценивания доминантной направленности изображений с приложением к текстурным изображениям, основанная на эллипсе рассеяния градиентного поля</w:t>
      </w:r>
    </w:p>
    <w:p w:rsidR="00000000" w:rsidRPr="002352D0" w:rsidRDefault="00D76E01" w:rsidP="002352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Методика обнаружения дефектных участков материалов на их изображении с испо</w:t>
      </w:r>
      <w:r w:rsidRPr="002352D0">
        <w:rPr>
          <w:rFonts w:ascii="Times New Roman" w:hAnsi="Times New Roman" w:cs="Times New Roman"/>
          <w:sz w:val="24"/>
          <w:szCs w:val="24"/>
          <w:lang w:val="ru-RU"/>
        </w:rPr>
        <w:t>льзованием структурного анализа сходства различных участков</w:t>
      </w:r>
    </w:p>
    <w:p w:rsidR="00000000" w:rsidRPr="002352D0" w:rsidRDefault="00D76E01" w:rsidP="002352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Совершенствование применяемых методик бинаризации исторических рукописных документов</w:t>
      </w:r>
    </w:p>
    <w:p w:rsidR="00000000" w:rsidRPr="002352D0" w:rsidRDefault="00D76E01" w:rsidP="002352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Создание программного инструментария для виртуального восстановления искажённых объектов культурного наследия</w:t>
      </w:r>
      <w:r w:rsidRPr="002352D0">
        <w:rPr>
          <w:rFonts w:ascii="Times New Roman" w:hAnsi="Times New Roman" w:cs="Times New Roman"/>
          <w:sz w:val="24"/>
          <w:szCs w:val="24"/>
          <w:lang w:val="ru-RU"/>
        </w:rPr>
        <w:t xml:space="preserve"> по изображению </w:t>
      </w:r>
    </w:p>
    <w:p w:rsidR="002352D0" w:rsidRPr="002352D0" w:rsidRDefault="002352D0" w:rsidP="002352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Автоматическое распознавание речи,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Распознавание спикера,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Распознавание эмоций,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Федеративное обучение,  </w:t>
      </w:r>
    </w:p>
    <w:p w:rsidR="002352D0" w:rsidRP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Выявление посттравматического стрессового расстройства,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Обнаруж</w:t>
      </w:r>
      <w:r>
        <w:rPr>
          <w:rFonts w:ascii="Times New Roman" w:hAnsi="Times New Roman" w:cs="Times New Roman"/>
          <w:sz w:val="24"/>
          <w:szCs w:val="24"/>
          <w:lang w:val="ru-RU"/>
        </w:rPr>
        <w:t>ение изменений в фотоснимках,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Извлечение ко</w:t>
      </w:r>
      <w:r>
        <w:rPr>
          <w:rFonts w:ascii="Times New Roman" w:hAnsi="Times New Roman" w:cs="Times New Roman"/>
          <w:sz w:val="24"/>
          <w:szCs w:val="24"/>
          <w:lang w:val="ru-RU"/>
        </w:rPr>
        <w:t>ординат целей,  </w:t>
      </w:r>
      <w:proofErr w:type="spellStart"/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Дрон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перехватчик воздушных целей,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Инерциа</w:t>
      </w:r>
      <w:r>
        <w:rPr>
          <w:rFonts w:ascii="Times New Roman" w:hAnsi="Times New Roman" w:cs="Times New Roman"/>
          <w:sz w:val="24"/>
          <w:szCs w:val="24"/>
          <w:lang w:val="ru-RU"/>
        </w:rPr>
        <w:t>льная и визуальная навигация,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роем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дронов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>ставка грузов с учетом ветра,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 xml:space="preserve">Проект по радиопомехам, </w:t>
      </w:r>
      <w:r>
        <w:rPr>
          <w:rFonts w:ascii="Times New Roman" w:hAnsi="Times New Roman" w:cs="Times New Roman"/>
          <w:sz w:val="24"/>
          <w:szCs w:val="24"/>
          <w:lang w:val="ru-RU"/>
        </w:rPr>
        <w:t>сканированию и классификацию,  </w:t>
      </w:r>
    </w:p>
    <w:p w:rsid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Ретранслятор сигналов,  </w:t>
      </w:r>
    </w:p>
    <w:p w:rsidR="002352D0" w:rsidRPr="002352D0" w:rsidRDefault="002352D0" w:rsidP="002352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352D0">
        <w:rPr>
          <w:rFonts w:ascii="Times New Roman" w:hAnsi="Times New Roman" w:cs="Times New Roman"/>
          <w:sz w:val="24"/>
          <w:szCs w:val="24"/>
          <w:lang w:val="ru-RU"/>
        </w:rPr>
        <w:t>Аэродинамические расчеты,  </w:t>
      </w:r>
    </w:p>
    <w:p w:rsidR="00FF4A90" w:rsidRPr="001709F2" w:rsidRDefault="00FF4A90" w:rsidP="002352D0">
      <w:pPr>
        <w:rPr>
          <w:lang w:val="ru-RU"/>
        </w:rPr>
      </w:pPr>
    </w:p>
    <w:sectPr w:rsidR="00FF4A90" w:rsidRPr="001709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13C"/>
    <w:multiLevelType w:val="hybridMultilevel"/>
    <w:tmpl w:val="D868B2AA"/>
    <w:lvl w:ilvl="0" w:tplc="5074E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CD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8A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5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66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ED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46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9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C6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3A5A62"/>
    <w:multiLevelType w:val="hybridMultilevel"/>
    <w:tmpl w:val="735AE36C"/>
    <w:lvl w:ilvl="0" w:tplc="5074E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4EE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6637"/>
    <w:multiLevelType w:val="hybridMultilevel"/>
    <w:tmpl w:val="4F887912"/>
    <w:lvl w:ilvl="0" w:tplc="5074E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F2"/>
    <w:rsid w:val="001709F2"/>
    <w:rsid w:val="00234CE4"/>
    <w:rsid w:val="002352D0"/>
    <w:rsid w:val="0086437E"/>
    <w:rsid w:val="00D76E01"/>
    <w:rsid w:val="00E40862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6113"/>
  <w15:chartTrackingRefBased/>
  <w15:docId w15:val="{F2BE8358-FA25-4D43-9B1B-B95772CC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9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2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2025-03-05T05:22:00Z</dcterms:created>
  <dcterms:modified xsi:type="dcterms:W3CDTF">2025-03-05T06:05:00Z</dcterms:modified>
</cp:coreProperties>
</file>